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A9" w:rsidRPr="00263DA9" w:rsidRDefault="00263DA9" w:rsidP="0026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A9" w:rsidRPr="00B56AD8" w:rsidRDefault="00410AF0" w:rsidP="008C07A2">
      <w:pPr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6AD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263DA9" w:rsidRPr="00B56AD8" w:rsidRDefault="00263DA9" w:rsidP="00C90485">
      <w:pPr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6AD8">
        <w:rPr>
          <w:rFonts w:ascii="Times New Roman" w:eastAsia="Calibri" w:hAnsi="Times New Roman" w:cs="Times New Roman"/>
          <w:sz w:val="24"/>
          <w:szCs w:val="24"/>
        </w:rPr>
        <w:t>к программе</w:t>
      </w:r>
      <w:r w:rsidR="00C90485">
        <w:rPr>
          <w:rFonts w:ascii="Times New Roman" w:eastAsia="Calibri" w:hAnsi="Times New Roman" w:cs="Times New Roman"/>
          <w:sz w:val="24"/>
          <w:szCs w:val="24"/>
        </w:rPr>
        <w:t xml:space="preserve"> начального  общего образования</w:t>
      </w:r>
      <w:r w:rsidR="00C90485" w:rsidRPr="00C90485">
        <w:rPr>
          <w:rFonts w:ascii="Times New Roman" w:eastAsia="Calibri" w:hAnsi="Times New Roman" w:cs="Times New Roman"/>
          <w:sz w:val="24"/>
          <w:szCs w:val="24"/>
        </w:rPr>
        <w:t xml:space="preserve"> с дополнениями и изменениям</w:t>
      </w:r>
      <w:r w:rsidRPr="00B56AD8">
        <w:rPr>
          <w:rFonts w:ascii="Times New Roman" w:eastAsia="Calibri" w:hAnsi="Times New Roman" w:cs="Times New Roman"/>
          <w:sz w:val="24"/>
          <w:szCs w:val="24"/>
        </w:rPr>
        <w:t xml:space="preserve"> утвержденной приказом </w:t>
      </w:r>
      <w:r w:rsidR="00C90485" w:rsidRPr="00C90485">
        <w:rPr>
          <w:rFonts w:ascii="Times New Roman" w:eastAsia="Calibri" w:hAnsi="Times New Roman" w:cs="Times New Roman"/>
          <w:sz w:val="24"/>
          <w:szCs w:val="24"/>
        </w:rPr>
        <w:t>№ 81/1-ОД от 18.08.2025г</w:t>
      </w:r>
    </w:p>
    <w:p w:rsidR="00263DA9" w:rsidRPr="003540A9" w:rsidRDefault="00263DA9" w:rsidP="00263DA9">
      <w:pPr>
        <w:jc w:val="center"/>
        <w:rPr>
          <w:rFonts w:ascii="Times New Roman" w:eastAsia="Calibri" w:hAnsi="Times New Roman" w:cs="Times New Roman"/>
          <w:color w:val="FF0000"/>
        </w:rPr>
      </w:pPr>
    </w:p>
    <w:p w:rsidR="00263DA9" w:rsidRPr="00263DA9" w:rsidRDefault="00263DA9" w:rsidP="00263DA9">
      <w:pPr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B56AD8" w:rsidRDefault="00263DA9" w:rsidP="00263DA9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B56AD8">
        <w:rPr>
          <w:rFonts w:ascii="Times New Roman" w:eastAsia="Calibri" w:hAnsi="Times New Roman" w:cs="Times New Roman"/>
          <w:b/>
          <w:sz w:val="72"/>
          <w:szCs w:val="72"/>
        </w:rPr>
        <w:t>Учебный план</w:t>
      </w:r>
    </w:p>
    <w:p w:rsidR="00263DA9" w:rsidRPr="00B56AD8" w:rsidRDefault="00263DA9" w:rsidP="00263DA9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B56AD8">
        <w:rPr>
          <w:rFonts w:ascii="Times New Roman" w:eastAsia="Calibri" w:hAnsi="Times New Roman" w:cs="Times New Roman"/>
          <w:b/>
          <w:sz w:val="72"/>
          <w:szCs w:val="72"/>
        </w:rPr>
        <w:t xml:space="preserve">внеурочной деятельности </w:t>
      </w:r>
    </w:p>
    <w:p w:rsidR="00263DA9" w:rsidRPr="00B56AD8" w:rsidRDefault="00B56AD8" w:rsidP="00263DA9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на 2025 -2026</w:t>
      </w:r>
      <w:r w:rsidR="00263DA9" w:rsidRPr="00B56AD8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263DA9" w:rsidRPr="00263DA9" w:rsidRDefault="00263DA9" w:rsidP="00263DA9">
      <w:pPr>
        <w:tabs>
          <w:tab w:val="left" w:pos="5415"/>
        </w:tabs>
        <w:rPr>
          <w:rFonts w:ascii="Times New Roman" w:eastAsia="Calibri" w:hAnsi="Times New Roman" w:cs="Times New Roman"/>
        </w:rPr>
      </w:pPr>
      <w:r w:rsidRPr="00263DA9">
        <w:rPr>
          <w:rFonts w:ascii="Times New Roman" w:eastAsia="Calibri" w:hAnsi="Times New Roman" w:cs="Times New Roman"/>
        </w:rPr>
        <w:tab/>
      </w: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3DA9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263DA9" w:rsidRPr="00263DA9" w:rsidRDefault="00263DA9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263DA9" w:rsidRPr="00263DA9" w:rsidRDefault="00505AF7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№8 от « 28</w:t>
      </w:r>
      <w:r w:rsidR="00B56AD8">
        <w:rPr>
          <w:rFonts w:ascii="Times New Roman" w:eastAsia="Calibri" w:hAnsi="Times New Roman" w:cs="Times New Roman"/>
          <w:sz w:val="24"/>
          <w:szCs w:val="24"/>
        </w:rPr>
        <w:t>» августа  2025</w:t>
      </w:r>
      <w:r w:rsidR="00263DA9" w:rsidRPr="00263DA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263DA9" w:rsidRPr="00263DA9" w:rsidRDefault="00263DA9" w:rsidP="00263DA9">
      <w:pPr>
        <w:rPr>
          <w:rFonts w:ascii="Calibri" w:eastAsia="Calibri" w:hAnsi="Calibri" w:cs="Times New Roman"/>
        </w:rPr>
      </w:pPr>
    </w:p>
    <w:p w:rsidR="00263DA9" w:rsidRPr="00263DA9" w:rsidRDefault="00263DA9" w:rsidP="00263DA9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000F7F" w:rsidRDefault="00000F7F"/>
    <w:p w:rsidR="00263DA9" w:rsidRDefault="00263DA9"/>
    <w:p w:rsidR="00263DA9" w:rsidRDefault="00263DA9"/>
    <w:p w:rsidR="00263DA9" w:rsidRDefault="00263DA9"/>
    <w:p w:rsidR="00263DA9" w:rsidRDefault="00263DA9"/>
    <w:p w:rsidR="00263DA9" w:rsidRDefault="00263DA9"/>
    <w:p w:rsidR="00B56AD8" w:rsidRDefault="005C6AEF" w:rsidP="00B56AD8">
      <w:pPr>
        <w:keepNext/>
        <w:keepLines/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C6AE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 к  плану внеурочно</w:t>
      </w:r>
      <w:r w:rsidR="00B56AD8">
        <w:rPr>
          <w:rFonts w:ascii="Times New Roman" w:eastAsia="Calibri" w:hAnsi="Times New Roman" w:cs="Times New Roman"/>
          <w:b/>
          <w:sz w:val="26"/>
          <w:szCs w:val="26"/>
        </w:rPr>
        <w:t xml:space="preserve">й деятельности Программы НОО  </w:t>
      </w:r>
    </w:p>
    <w:p w:rsidR="005C6AEF" w:rsidRDefault="00B56AD8" w:rsidP="005C6AEF">
      <w:pPr>
        <w:keepNext/>
        <w:keepLines/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2025</w:t>
      </w:r>
      <w:r w:rsidR="008C07A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C6AEF" w:rsidRPr="005C6AEF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2026</w:t>
      </w:r>
      <w:r w:rsidR="005C6AEF" w:rsidRPr="005C6AEF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год.</w:t>
      </w:r>
    </w:p>
    <w:p w:rsidR="00B56AD8" w:rsidRPr="005C6AEF" w:rsidRDefault="00B56AD8" w:rsidP="005C6AEF">
      <w:pPr>
        <w:keepNext/>
        <w:keepLines/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473A" w:rsidRPr="00AA473A" w:rsidRDefault="00AA473A" w:rsidP="00AA473A">
      <w:pPr>
        <w:spacing w:after="0" w:line="240" w:lineRule="auto"/>
        <w:ind w:right="-57"/>
        <w:jc w:val="both"/>
        <w:rPr>
          <w:rFonts w:ascii="Times New Roman" w:eastAsia="Calibri" w:hAnsi="Times New Roman" w:cs="Calibri"/>
          <w:b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b/>
          <w:sz w:val="24"/>
          <w:szCs w:val="24"/>
          <w:lang w:val="x-none" w:eastAsia="x-none"/>
        </w:rPr>
        <w:t>1.Общие положения .</w:t>
      </w:r>
    </w:p>
    <w:p w:rsidR="00AA473A" w:rsidRPr="00AA473A" w:rsidRDefault="00AA473A" w:rsidP="00AA473A">
      <w:pPr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 План внеурочной деятельности программы НОО разработан в соответствии со следующими документами: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-Федеральный государственный стандарт начального общего образования, утвержденный приказом Министерства образования и науки Российской Федерации </w:t>
      </w:r>
      <w:r w:rsidRPr="00AA473A">
        <w:rPr>
          <w:rFonts w:ascii="Times New Roman" w:eastAsia="Calibri" w:hAnsi="Times New Roman" w:cs="Calibri"/>
          <w:bCs/>
          <w:sz w:val="24"/>
          <w:szCs w:val="24"/>
          <w:shd w:val="clear" w:color="auto" w:fill="FFFFFF"/>
          <w:lang w:eastAsia="ru-RU"/>
        </w:rPr>
        <w:t>от 31 мая 2021 года N 286;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-Федеральный Закон от 29.12.2012 № 273-ФЗ «Об образовании в Российской Федерации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»(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с изменениями и дополнениями);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sym w:font="Symbol" w:char="F02D"/>
      </w: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и дополнениями); </w:t>
      </w:r>
    </w:p>
    <w:p w:rsidR="00AA473A" w:rsidRDefault="00AA473A" w:rsidP="00AA473A">
      <w:pPr>
        <w:tabs>
          <w:tab w:val="left" w:pos="0"/>
        </w:tabs>
        <w:spacing w:line="272" w:lineRule="exact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hyperlink r:id="rId6">
        <w:r w:rsidRPr="005C6AEF">
          <w:rPr>
            <w:rFonts w:ascii="Times New Roman" w:eastAsia="Calibri" w:hAnsi="Times New Roman" w:cs="Times New Roman"/>
            <w:sz w:val="24"/>
            <w:szCs w:val="24"/>
          </w:rPr>
          <w:t>Письмо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Министерства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Просвещения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Российской</w:t>
        </w:r>
        <w:r w:rsidRPr="005C6AEF">
          <w:rPr>
            <w:rFonts w:ascii="Times New Roman" w:eastAsia="Calibri" w:hAnsi="Times New Roman" w:cs="Times New Roman"/>
            <w:spacing w:val="15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Федерации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от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5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июля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2022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года</w:t>
        </w:r>
      </w:hyperlink>
      <w:r w:rsidRPr="005C6A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7">
        <w:r w:rsidRPr="005C6AEF">
          <w:rPr>
            <w:rFonts w:ascii="Times New Roman" w:eastAsia="Calibri" w:hAnsi="Times New Roman" w:cs="Times New Roman"/>
          </w:rPr>
          <w:t>№</w:t>
        </w:r>
        <w:r w:rsidRPr="005C6AEF">
          <w:rPr>
            <w:rFonts w:ascii="Times New Roman" w:eastAsia="Calibri" w:hAnsi="Times New Roman" w:cs="Times New Roman"/>
            <w:spacing w:val="-5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ТВ-1290/03 «О</w:t>
        </w:r>
        <w:r w:rsidRPr="005C6AEF">
          <w:rPr>
            <w:rFonts w:ascii="Times New Roman" w:eastAsia="Calibri" w:hAnsi="Times New Roman" w:cs="Times New Roman"/>
            <w:spacing w:val="-3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направлении</w:t>
        </w:r>
        <w:r w:rsidRPr="005C6AEF">
          <w:rPr>
            <w:rFonts w:ascii="Times New Roman" w:eastAsia="Calibri" w:hAnsi="Times New Roman" w:cs="Times New Roman"/>
            <w:spacing w:val="-4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методических</w:t>
        </w:r>
        <w:r w:rsidRPr="005C6AEF">
          <w:rPr>
            <w:rFonts w:ascii="Times New Roman" w:eastAsia="Calibri" w:hAnsi="Times New Roman" w:cs="Times New Roman"/>
            <w:spacing w:val="-5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рекомендаций».</w:t>
        </w:r>
      </w:hyperlink>
    </w:p>
    <w:p w:rsidR="00AA473A" w:rsidRPr="00AA473A" w:rsidRDefault="00AA473A" w:rsidP="00AA473A">
      <w:pPr>
        <w:tabs>
          <w:tab w:val="left" w:pos="0"/>
        </w:tabs>
        <w:spacing w:line="272" w:lineRule="exact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hyperlink r:id="rId8" w:anchor="64S0IJ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Письмо</w:t>
        </w:r>
        <w:r w:rsidRPr="005C6AEF">
          <w:rPr>
            <w:rFonts w:ascii="Times New Roman" w:eastAsia="Times New Roman" w:hAnsi="Times New Roman" w:cs="Times New Roman"/>
            <w:spacing w:val="32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17.</w:t>
        </w:r>
        <w:r w:rsidRPr="005C6AEF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06.</w:t>
        </w:r>
        <w:r w:rsidRPr="005C6AEF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2022</w:t>
        </w:r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03-871</w:t>
        </w:r>
        <w:r w:rsidRPr="005C6AEF"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Pr="005C6AEF">
          <w:rPr>
            <w:rFonts w:ascii="Times New Roman" w:eastAsia="Times New Roman" w:hAnsi="Times New Roman" w:cs="Times New Roman"/>
            <w:spacing w:val="36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организации</w:t>
        </w:r>
      </w:hyperlink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9" w:anchor="64S0IJ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занятий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"Разговоры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proofErr w:type="gramStart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proofErr w:type="gramEnd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 xml:space="preserve"> важном"</w:t>
        </w:r>
      </w:hyperlink>
      <w:r w:rsidRPr="005C6AE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1.1. 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Под внеурочной деятельностью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образовательной программы.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Внеурочная деятельность – понятие, объединяющее все виды деятельности обучающихся (кроме учебной), в которых возможно решение задач их воспитания и социализации.</w:t>
      </w:r>
      <w:proofErr w:type="gramEnd"/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1.2. План внеурочной деятельности обеспечивает учёт индивидуальных особенностей и 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потребностей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Внеурочная деятельность организуется по направлениям развития личности на добровольной основе в соответствии с выбором участников образовательных отношений.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1.3. </w:t>
      </w:r>
      <w:r w:rsidRPr="00AA473A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ru-RU"/>
        </w:rPr>
        <w:t>Внеурочная деятельность является неотъемлемой частью образовательной деятельности .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1.4. Чередование учебной и внеурочной деятельности устанавливается календарным учебным графиком.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1.5. В соответствии с санитарными  правилами занятия в рамках внеурочной деятельности 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для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обучающихся проводятся  в соответствии с утвержденным расписанием.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1.6. Расписание занятий внеурочной деятельности формируется отдельно от расписания уроков. Продолжительность занятия вн</w:t>
      </w:r>
      <w:r>
        <w:rPr>
          <w:rFonts w:ascii="Times New Roman" w:eastAsia="Calibri" w:hAnsi="Times New Roman" w:cs="Calibri"/>
          <w:sz w:val="24"/>
          <w:szCs w:val="24"/>
          <w:lang w:eastAsia="ru-RU"/>
        </w:rPr>
        <w:t>еурочной деятельности составляет:</w:t>
      </w:r>
    </w:p>
    <w:p w:rsidR="00AA473A" w:rsidRPr="00AA473A" w:rsidRDefault="00AA473A" w:rsidP="00AA473A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- 1 класс –  20 минут;</w:t>
      </w:r>
    </w:p>
    <w:p w:rsidR="00AA473A" w:rsidRPr="00AA473A" w:rsidRDefault="00AA473A" w:rsidP="00AA473A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- 2-4 класс - 30 минут.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b/>
          <w:sz w:val="24"/>
          <w:szCs w:val="24"/>
          <w:lang w:eastAsia="ru-RU"/>
        </w:rPr>
        <w:t>2. Особенности организации внеурочной деятельности при реализации программы  начального общего образования .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2.1. Цели организации внеурочной деятельности на уровне начального общего образования: 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2.2. Формы организации внеурочной деятельности, как и в целом образовательной деятельности, в рамках реализации программы начального общего образования определяет школа. Содержание занятий, предусмотренных во внеурочной деятельности, осуществляется в таких формах как студии, спортивные кружки и секции, конференции, </w:t>
      </w: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lastRenderedPageBreak/>
        <w:t xml:space="preserve">олимпиады, экскурсии, соревнования, поисковые и научные исследования, общественно полезные практики, проекты и другие формы.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2.3.Учебный план и план внеурочной деятельности являются основными организационными механизмами реализации программы НОО.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2.4.Внеурочная деятельность в школе осуществляется непосредственно в образовательной организации.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2.5.При организации внеурочной деятельности используются образовательные программы по направлениям деятельности. </w:t>
      </w:r>
    </w:p>
    <w:p w:rsidR="00AA473A" w:rsidRPr="00AA473A" w:rsidRDefault="00AA473A" w:rsidP="00AA473A">
      <w:pPr>
        <w:spacing w:after="0" w:line="259" w:lineRule="auto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 рамках реализации программы начального общего образования предусмотрено проведение тематических мероприятий по всем направлениям внеурочной деятельности. 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>Время, отводимое на внеурочную деятельность на уровне освоения программы  начального общего образования  составляет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до  1320 часов.</w:t>
      </w:r>
    </w:p>
    <w:p w:rsidR="00AA473A" w:rsidRPr="00AA473A" w:rsidRDefault="00AA473A" w:rsidP="00AA473A">
      <w:pPr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Внеурочная деятельность  в 1-4 классах представлена </w:t>
      </w: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8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 направлениями :</w:t>
      </w:r>
    </w:p>
    <w:p w:rsidR="00AA473A" w:rsidRPr="00AA473A" w:rsidRDefault="00AA473A" w:rsidP="00AA473A">
      <w:pPr>
        <w:tabs>
          <w:tab w:val="left" w:pos="690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1.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Внеурочные занятия патриотической, нравственной и экологической тематики</w:t>
      </w:r>
    </w:p>
    <w:p w:rsidR="00AA473A" w:rsidRPr="00AA473A" w:rsidRDefault="00AA473A" w:rsidP="00AA473A">
      <w:pPr>
        <w:tabs>
          <w:tab w:val="left" w:pos="723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2.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Спортивн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о-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 оздоровительная деятельность</w:t>
      </w:r>
    </w:p>
    <w:p w:rsidR="00AA473A" w:rsidRPr="00AA473A" w:rsidRDefault="00AA473A" w:rsidP="00AA473A">
      <w:pPr>
        <w:tabs>
          <w:tab w:val="left" w:pos="790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3.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Проектн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о-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 исследовательская деятельность</w:t>
      </w:r>
    </w:p>
    <w:p w:rsidR="00AA473A" w:rsidRPr="00AA473A" w:rsidRDefault="00AA473A" w:rsidP="00AA473A">
      <w:pPr>
        <w:tabs>
          <w:tab w:val="left" w:pos="786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4.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Коммуникативная деятельность</w:t>
      </w:r>
    </w:p>
    <w:p w:rsidR="00AA473A" w:rsidRPr="00AA473A" w:rsidRDefault="00AA473A" w:rsidP="00AA473A">
      <w:pPr>
        <w:tabs>
          <w:tab w:val="left" w:pos="786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5.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Художественн</w:t>
      </w:r>
      <w:proofErr w:type="gramStart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о-</w:t>
      </w:r>
      <w:proofErr w:type="gramEnd"/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 xml:space="preserve"> эстетическая творческая деятельность</w:t>
      </w:r>
    </w:p>
    <w:p w:rsidR="00AA473A" w:rsidRPr="00AA473A" w:rsidRDefault="00AA473A" w:rsidP="00AA473A">
      <w:pPr>
        <w:tabs>
          <w:tab w:val="left" w:pos="786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6.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Информационная культура</w:t>
      </w:r>
    </w:p>
    <w:p w:rsidR="00AA473A" w:rsidRPr="00AA473A" w:rsidRDefault="00AA473A" w:rsidP="00AA473A">
      <w:pPr>
        <w:tabs>
          <w:tab w:val="left" w:pos="786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7.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Интеллектуальные марафоны</w:t>
      </w:r>
    </w:p>
    <w:p w:rsidR="00AA473A" w:rsidRPr="00AA473A" w:rsidRDefault="00AA473A" w:rsidP="00AA473A">
      <w:pPr>
        <w:tabs>
          <w:tab w:val="left" w:pos="786"/>
          <w:tab w:val="left" w:pos="993"/>
        </w:tabs>
        <w:spacing w:after="0" w:line="240" w:lineRule="auto"/>
        <w:ind w:right="-57"/>
        <w:jc w:val="both"/>
        <w:rPr>
          <w:rFonts w:ascii="Times New Roman" w:eastAsia="Calibri" w:hAnsi="Times New Roman" w:cs="Calibri"/>
          <w:sz w:val="24"/>
          <w:szCs w:val="24"/>
          <w:lang w:val="x-none" w:eastAsia="x-none"/>
        </w:rPr>
      </w:pPr>
      <w:r w:rsidRPr="00AA473A">
        <w:rPr>
          <w:rFonts w:ascii="Times New Roman" w:eastAsia="Calibri" w:hAnsi="Times New Roman" w:cs="Calibri"/>
          <w:sz w:val="24"/>
          <w:szCs w:val="24"/>
          <w:lang w:eastAsia="x-none"/>
        </w:rPr>
        <w:t>8.</w:t>
      </w:r>
      <w:r w:rsidRPr="00AA473A">
        <w:rPr>
          <w:rFonts w:ascii="Times New Roman" w:eastAsia="Calibri" w:hAnsi="Times New Roman" w:cs="Calibri"/>
          <w:sz w:val="24"/>
          <w:szCs w:val="24"/>
          <w:lang w:val="x-none" w:eastAsia="x-none"/>
        </w:rPr>
        <w:t>«Учение с увлечением»</w:t>
      </w:r>
    </w:p>
    <w:p w:rsidR="00AA473A" w:rsidRPr="00AA473A" w:rsidRDefault="00AA473A" w:rsidP="00AA473A">
      <w:pPr>
        <w:spacing w:after="0" w:line="240" w:lineRule="auto"/>
        <w:rPr>
          <w:rFonts w:ascii="Times New Roman" w:eastAsia="Calibri" w:hAnsi="Times New Roman" w:cs="Times New Roman"/>
          <w:b/>
          <w:lang w:val="x-none" w:eastAsia="ru-RU"/>
        </w:rPr>
      </w:pPr>
    </w:p>
    <w:p w:rsidR="005C6AEF" w:rsidRPr="005C6AEF" w:rsidRDefault="005C6AEF" w:rsidP="00AA473A">
      <w:pPr>
        <w:widowControl w:val="0"/>
        <w:autoSpaceDE w:val="0"/>
        <w:autoSpaceDN w:val="0"/>
        <w:spacing w:after="0" w:line="237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С целью обеспечения преемственности содержания образовательных программ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НОО и ООО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 при формировании плана внеурочной деятельности предусматривает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рекомендуемую</w:t>
      </w:r>
      <w:proofErr w:type="gramEnd"/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AD8">
        <w:rPr>
          <w:rFonts w:ascii="Times New Roman" w:eastAsia="Times New Roman" w:hAnsi="Times New Roman" w:cs="Times New Roman"/>
          <w:sz w:val="24"/>
          <w:szCs w:val="24"/>
        </w:rPr>
        <w:t>(1-9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классы)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инвариантная 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часть:</w:t>
      </w:r>
    </w:p>
    <w:p w:rsidR="005C6AEF" w:rsidRPr="005C6AEF" w:rsidRDefault="00AA473A" w:rsidP="00AA473A">
      <w:pPr>
        <w:widowControl w:val="0"/>
        <w:tabs>
          <w:tab w:val="left" w:pos="135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0742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информационно-просветительские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нравственной и экологической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направленности «Разговоры о важном» </w:t>
      </w:r>
      <w:proofErr w:type="gramStart"/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понедельник, 1</w:t>
      </w:r>
      <w:r w:rsidR="005C6AEF"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урок);</w:t>
      </w:r>
    </w:p>
    <w:p w:rsidR="005C6AEF" w:rsidRPr="005C6AEF" w:rsidRDefault="005C6AEF" w:rsidP="00AA473A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грамотности)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C6398">
        <w:rPr>
          <w:rFonts w:ascii="Times New Roman" w:eastAsia="Times New Roman" w:hAnsi="Times New Roman" w:cs="Times New Roman"/>
          <w:sz w:val="24"/>
          <w:szCs w:val="24"/>
        </w:rPr>
        <w:t xml:space="preserve"> «Функциональная грамотность»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AD8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классы);</w:t>
      </w:r>
    </w:p>
    <w:p w:rsidR="005C6AEF" w:rsidRPr="005C6AEF" w:rsidRDefault="005C6AEF" w:rsidP="00AA473A">
      <w:pPr>
        <w:spacing w:before="100" w:beforeAutospacing="1" w:after="100" w:afterAutospacing="1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</w:t>
      </w:r>
      <w:proofErr w:type="gramEnd"/>
      <w:r w:rsidRPr="005C6A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</w:t>
      </w:r>
      <w:r w:rsidRPr="005C6A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предусматривает:</w:t>
      </w:r>
    </w:p>
    <w:p w:rsidR="005C6AEF" w:rsidRPr="005C6AEF" w:rsidRDefault="005C6AEF" w:rsidP="00AA473A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социокультурных потребностей обучающихся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C6AEF">
        <w:rPr>
          <w:rFonts w:ascii="Times New Roman" w:eastAsia="Times New Roman" w:hAnsi="Times New Roman" w:cs="Times New Roman"/>
          <w:sz w:val="24"/>
          <w:szCs w:val="24"/>
        </w:rPr>
        <w:t>в том числе изучение отдельных учебных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углубленном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историческое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просвещение);</w:t>
      </w:r>
    </w:p>
    <w:p w:rsidR="005C6AEF" w:rsidRPr="005C6AEF" w:rsidRDefault="005C6AEF" w:rsidP="00AA47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  в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творческом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 физическом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развитии;</w:t>
      </w:r>
    </w:p>
    <w:p w:rsidR="005C6AEF" w:rsidRPr="005C6AEF" w:rsidRDefault="00B56AD8" w:rsidP="00AA473A">
      <w:pPr>
        <w:widowControl w:val="0"/>
        <w:tabs>
          <w:tab w:val="left" w:pos="0"/>
          <w:tab w:val="left" w:pos="13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 в неделю – на занятия, направленные на удовлетворение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социальных интересов и</w:t>
      </w:r>
      <w:r w:rsidR="005C6AEF"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5C6AEF" w:rsidRPr="005C6AE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проекта «Орлята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России»).</w:t>
      </w:r>
    </w:p>
    <w:p w:rsidR="005C6AEF" w:rsidRPr="005C6AEF" w:rsidRDefault="005C6AEF" w:rsidP="00AA47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206E" w:rsidRDefault="00F1107F" w:rsidP="00AA473A">
      <w:pPr>
        <w:tabs>
          <w:tab w:val="left" w:pos="786"/>
          <w:tab w:val="left" w:pos="993"/>
        </w:tabs>
        <w:ind w:right="-5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5708F">
        <w:rPr>
          <w:rFonts w:ascii="Times New Roman" w:hAnsi="Times New Roman"/>
          <w:sz w:val="24"/>
          <w:szCs w:val="24"/>
          <w:lang w:val="x-none" w:eastAsia="x-none"/>
        </w:rPr>
        <w:t>Проведение курсов внеурочной деятельности возможно организовывать  в дистанционной форме с использованием цифровых платформ в соответствии с расписанием. Занятия  организуются во второй половине дня, а так же  в период каникул .</w:t>
      </w:r>
    </w:p>
    <w:p w:rsidR="00366E45" w:rsidRDefault="00366E45" w:rsidP="00366E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Промежуточная</w:t>
      </w:r>
      <w:r w:rsidRPr="00FE0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аттестация</w:t>
      </w:r>
      <w:r w:rsidRPr="00FE0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и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контроль</w:t>
      </w:r>
      <w:r w:rsidRPr="00FE006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за</w:t>
      </w:r>
      <w:r w:rsidRPr="00FE0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посещаемостью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.</w:t>
      </w:r>
    </w:p>
    <w:p w:rsidR="00366E45" w:rsidRPr="00366E45" w:rsidRDefault="00366E45" w:rsidP="00366E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>, осваивающих программы внеурочной деятельности не проводится.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преподавателем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электронном журнале. 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593DA2" w:rsidRDefault="00593DA2"/>
    <w:p w:rsidR="00593DA2" w:rsidRPr="005C6AEF" w:rsidRDefault="00593DA2" w:rsidP="00593D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6AEF">
        <w:rPr>
          <w:rFonts w:ascii="Times New Roman" w:eastAsia="Calibri" w:hAnsi="Times New Roman"/>
          <w:b/>
          <w:sz w:val="24"/>
          <w:szCs w:val="24"/>
        </w:rPr>
        <w:t>План   внеурочной деятельности ООП начального общего образования 1-4 классы (</w:t>
      </w:r>
      <w:r>
        <w:rPr>
          <w:rFonts w:ascii="Times New Roman" w:eastAsia="Calibri" w:hAnsi="Times New Roman"/>
          <w:b/>
          <w:sz w:val="24"/>
          <w:szCs w:val="24"/>
        </w:rPr>
        <w:t>недельное планирование)  на 2025-2026</w:t>
      </w:r>
      <w:r w:rsidRPr="005C6AEF">
        <w:rPr>
          <w:rFonts w:ascii="Times New Roman" w:eastAsia="Calibri" w:hAnsi="Times New Roman"/>
          <w:b/>
          <w:sz w:val="24"/>
          <w:szCs w:val="24"/>
        </w:rPr>
        <w:t xml:space="preserve"> учебный год</w:t>
      </w:r>
    </w:p>
    <w:p w:rsidR="00593DA2" w:rsidRPr="005C6AEF" w:rsidRDefault="00593DA2" w:rsidP="00593DA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1"/>
        <w:tblW w:w="11165" w:type="dxa"/>
        <w:tblInd w:w="-1026" w:type="dxa"/>
        <w:tblLook w:val="04A0" w:firstRow="1" w:lastRow="0" w:firstColumn="1" w:lastColumn="0" w:noHBand="0" w:noVBand="1"/>
      </w:tblPr>
      <w:tblGrid>
        <w:gridCol w:w="619"/>
        <w:gridCol w:w="3113"/>
        <w:gridCol w:w="2078"/>
        <w:gridCol w:w="1607"/>
        <w:gridCol w:w="941"/>
        <w:gridCol w:w="941"/>
        <w:gridCol w:w="933"/>
        <w:gridCol w:w="933"/>
      </w:tblGrid>
      <w:tr w:rsidR="00593DA2" w:rsidRPr="005C6AEF" w:rsidTr="00741E87">
        <w:tc>
          <w:tcPr>
            <w:tcW w:w="639" w:type="dxa"/>
            <w:vMerge w:val="restart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02" w:type="dxa"/>
            <w:gridSpan w:val="2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958" w:type="dxa"/>
          </w:tcPr>
          <w:p w:rsidR="00593DA2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организации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3  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 </w:t>
            </w:r>
          </w:p>
        </w:tc>
      </w:tr>
      <w:tr w:rsidR="00593DA2" w:rsidRPr="005C6AEF" w:rsidTr="00741E87">
        <w:tc>
          <w:tcPr>
            <w:tcW w:w="639" w:type="dxa"/>
            <w:vMerge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95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4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(аудиторных занятий в неделю)</w:t>
            </w:r>
          </w:p>
        </w:tc>
      </w:tr>
      <w:tr w:rsidR="00593DA2" w:rsidRPr="005C6AEF" w:rsidTr="00741E87">
        <w:tc>
          <w:tcPr>
            <w:tcW w:w="639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Информационно-просветительские занятия патриотической направленности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«Разговор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5C6AEF">
              <w:rPr>
                <w:rFonts w:ascii="Times New Roman" w:eastAsia="Calibri" w:hAnsi="Times New Roman"/>
                <w:sz w:val="24"/>
                <w:szCs w:val="24"/>
              </w:rPr>
              <w:t xml:space="preserve"> о </w:t>
            </w:r>
            <w:proofErr w:type="gramStart"/>
            <w:r w:rsidRPr="005C6AEF">
              <w:rPr>
                <w:rFonts w:ascii="Times New Roman" w:eastAsia="Calibri" w:hAnsi="Times New Roman"/>
                <w:sz w:val="24"/>
                <w:szCs w:val="24"/>
              </w:rPr>
              <w:t>важном</w:t>
            </w:r>
            <w:proofErr w:type="gramEnd"/>
            <w:r w:rsidRPr="005C6AE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</w:tr>
      <w:tr w:rsidR="00593DA2" w:rsidRPr="005C6AEF" w:rsidTr="00741E87">
        <w:tc>
          <w:tcPr>
            <w:tcW w:w="639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3E65">
              <w:rPr>
                <w:rFonts w:ascii="Times New Roman" w:eastAsia="Calibri" w:hAnsi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 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34</w:t>
            </w:r>
          </w:p>
        </w:tc>
      </w:tr>
      <w:tr w:rsidR="00593DA2" w:rsidRPr="005C6AEF" w:rsidTr="00741E87">
        <w:tc>
          <w:tcPr>
            <w:tcW w:w="639" w:type="dxa"/>
            <w:vMerge w:val="restart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vMerge w:val="restart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детских общественных организаций, на организацию мероприятий воспитательной направленности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5C6AEF">
              <w:rPr>
                <w:rFonts w:ascii="Times New Roman" w:eastAsia="Calibri" w:hAnsi="Times New Roman"/>
                <w:sz w:val="24"/>
                <w:szCs w:val="24"/>
              </w:rPr>
              <w:t>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 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</w:tr>
      <w:tr w:rsidR="00593DA2" w:rsidRPr="005C6AEF" w:rsidTr="00741E87">
        <w:tc>
          <w:tcPr>
            <w:tcW w:w="639" w:type="dxa"/>
            <w:vMerge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8206E">
              <w:rPr>
                <w:rFonts w:ascii="Times New Roman" w:eastAsia="Calibri" w:hAnsi="Times New Roman"/>
                <w:sz w:val="24"/>
                <w:szCs w:val="24"/>
              </w:rPr>
              <w:t>«Орловское казачество: история и традиции»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3770"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93DA2" w:rsidRPr="005C6AEF" w:rsidTr="00741E87">
        <w:tc>
          <w:tcPr>
            <w:tcW w:w="639" w:type="dxa"/>
            <w:vMerge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93DA2" w:rsidRPr="00E8206E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36E37">
              <w:rPr>
                <w:rFonts w:ascii="Times New Roman" w:eastAsia="Calibri" w:hAnsi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3770"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 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</w:tr>
      <w:tr w:rsidR="00593DA2" w:rsidRPr="005C6AEF" w:rsidTr="00741E87">
        <w:tc>
          <w:tcPr>
            <w:tcW w:w="639" w:type="dxa"/>
            <w:vMerge w:val="restart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vMerge w:val="restart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обучающихся, развитие и раскрытие способностей и талантов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76D6F">
              <w:rPr>
                <w:rFonts w:ascii="Times New Roman" w:eastAsia="Calibri" w:hAnsi="Times New Roman"/>
                <w:sz w:val="24"/>
                <w:szCs w:val="24"/>
              </w:rPr>
              <w:t>«Юные казачата: подвижные игры, элементы строевой подготовки»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3770"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93DA2" w:rsidRPr="005C6AEF" w:rsidTr="00741E87">
        <w:tc>
          <w:tcPr>
            <w:tcW w:w="639" w:type="dxa"/>
            <w:vMerge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«Мы - твои верные друзья»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3770"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93DA2" w:rsidRPr="005C6AEF" w:rsidTr="00741E87">
        <w:tc>
          <w:tcPr>
            <w:tcW w:w="639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</w:t>
            </w:r>
            <w:proofErr w:type="gramStart"/>
            <w:r w:rsidRPr="005C6AEF">
              <w:rPr>
                <w:rFonts w:ascii="Times New Roman" w:eastAsia="Calibri" w:hAnsi="Times New Roman"/>
                <w:sz w:val="24"/>
                <w:szCs w:val="24"/>
              </w:rPr>
              <w:t>я(</w:t>
            </w:r>
            <w:proofErr w:type="gramEnd"/>
            <w:r w:rsidRPr="005C6AEF">
              <w:rPr>
                <w:rFonts w:ascii="Times New Roman" w:eastAsia="Calibri" w:hAnsi="Times New Roman"/>
                <w:sz w:val="24"/>
                <w:szCs w:val="24"/>
              </w:rPr>
              <w:t>учебно-исследовательская, экспериментальная деятельность, проекты)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76D6F">
              <w:rPr>
                <w:rFonts w:ascii="Times New Roman" w:eastAsia="Calibri" w:hAnsi="Times New Roman"/>
                <w:sz w:val="24"/>
                <w:szCs w:val="24"/>
              </w:rPr>
              <w:t>«Чтение и работа с текстом»</w:t>
            </w: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3770">
              <w:rPr>
                <w:rFonts w:ascii="Times New Roman" w:eastAsia="Calibri" w:hAnsi="Times New Roman"/>
                <w:sz w:val="24"/>
                <w:szCs w:val="24"/>
              </w:rPr>
              <w:t>Кружок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1/33</w:t>
            </w:r>
          </w:p>
        </w:tc>
        <w:tc>
          <w:tcPr>
            <w:tcW w:w="1047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1036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</w:tr>
      <w:tr w:rsidR="00593DA2" w:rsidRPr="005C6AEF" w:rsidTr="00741E87">
        <w:tc>
          <w:tcPr>
            <w:tcW w:w="3963" w:type="dxa"/>
            <w:gridSpan w:val="2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Итого об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щее количество часов в неделю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0EF0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0EF0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93DA2" w:rsidRPr="00F10EF0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593DA2" w:rsidRPr="005C6AEF" w:rsidTr="00741E87">
        <w:tc>
          <w:tcPr>
            <w:tcW w:w="3963" w:type="dxa"/>
            <w:gridSpan w:val="2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общее количество часов в год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593DA2" w:rsidRPr="00F437D3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1047" w:type="dxa"/>
          </w:tcPr>
          <w:p w:rsidR="00593DA2" w:rsidRPr="00F437D3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36" w:type="dxa"/>
          </w:tcPr>
          <w:p w:rsidR="00593DA2" w:rsidRPr="00F437D3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36" w:type="dxa"/>
          </w:tcPr>
          <w:p w:rsidR="00593DA2" w:rsidRPr="00F437D3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170</w:t>
            </w:r>
          </w:p>
        </w:tc>
      </w:tr>
      <w:tr w:rsidR="00593DA2" w:rsidRPr="005C6AEF" w:rsidTr="00741E87">
        <w:tc>
          <w:tcPr>
            <w:tcW w:w="3963" w:type="dxa"/>
            <w:gridSpan w:val="2"/>
          </w:tcPr>
          <w:p w:rsidR="00593DA2" w:rsidRPr="005C6AEF" w:rsidRDefault="00593DA2" w:rsidP="00741E8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2078" w:type="dxa"/>
          </w:tcPr>
          <w:p w:rsidR="00593DA2" w:rsidRPr="005C6AEF" w:rsidRDefault="00593DA2" w:rsidP="00741E8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93DA2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4"/>
          </w:tcPr>
          <w:p w:rsidR="00593DA2" w:rsidRPr="00F437D3" w:rsidRDefault="00593DA2" w:rsidP="00741E8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774</w:t>
            </w:r>
          </w:p>
        </w:tc>
      </w:tr>
    </w:tbl>
    <w:p w:rsidR="00593DA2" w:rsidRDefault="00593DA2" w:rsidP="00593DA2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rFonts w:ascii="Times New Roman" w:hAnsi="Times New Roman"/>
          <w:color w:val="FF0000"/>
          <w:sz w:val="24"/>
        </w:rPr>
      </w:pPr>
    </w:p>
    <w:p w:rsidR="00593DA2" w:rsidRDefault="00593DA2" w:rsidP="00593DA2">
      <w:r>
        <w:rPr>
          <w:rFonts w:ascii="Times New Roman" w:hAnsi="Times New Roman"/>
          <w:color w:val="FF0000"/>
          <w:sz w:val="24"/>
        </w:rPr>
        <w:br/>
      </w:r>
    </w:p>
    <w:sectPr w:rsidR="00593DA2" w:rsidSect="00263D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44647ADD"/>
    <w:multiLevelType w:val="hybridMultilevel"/>
    <w:tmpl w:val="A67A0A16"/>
    <w:lvl w:ilvl="0" w:tplc="509A8694">
      <w:numFmt w:val="bullet"/>
      <w:lvlText w:val="-"/>
      <w:lvlJc w:val="left"/>
      <w:pPr>
        <w:ind w:left="1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A1DAE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0C00CE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3" w:tplc="446C68EE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1368C648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5E9AC1A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E9C8288C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 w:tplc="11AA046E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61462944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9"/>
    <w:rsid w:val="00000F7F"/>
    <w:rsid w:val="000C7DE1"/>
    <w:rsid w:val="000E6E9E"/>
    <w:rsid w:val="000F5227"/>
    <w:rsid w:val="0013235A"/>
    <w:rsid w:val="00147426"/>
    <w:rsid w:val="0018215C"/>
    <w:rsid w:val="001C793D"/>
    <w:rsid w:val="001F0706"/>
    <w:rsid w:val="00263DA9"/>
    <w:rsid w:val="00267136"/>
    <w:rsid w:val="002857B2"/>
    <w:rsid w:val="002D571B"/>
    <w:rsid w:val="002F4708"/>
    <w:rsid w:val="00306641"/>
    <w:rsid w:val="003540A9"/>
    <w:rsid w:val="00355EF4"/>
    <w:rsid w:val="00366E45"/>
    <w:rsid w:val="003E67C5"/>
    <w:rsid w:val="00406E4E"/>
    <w:rsid w:val="0040742C"/>
    <w:rsid w:val="00410AF0"/>
    <w:rsid w:val="00433E65"/>
    <w:rsid w:val="004C6398"/>
    <w:rsid w:val="004F2423"/>
    <w:rsid w:val="00505AF7"/>
    <w:rsid w:val="00593DA2"/>
    <w:rsid w:val="005C6AEF"/>
    <w:rsid w:val="005E7ADD"/>
    <w:rsid w:val="00636E37"/>
    <w:rsid w:val="00650549"/>
    <w:rsid w:val="006645B6"/>
    <w:rsid w:val="006C6992"/>
    <w:rsid w:val="008170EC"/>
    <w:rsid w:val="00836018"/>
    <w:rsid w:val="0084483C"/>
    <w:rsid w:val="008C07A2"/>
    <w:rsid w:val="00910DF0"/>
    <w:rsid w:val="009B6E22"/>
    <w:rsid w:val="009C5CB0"/>
    <w:rsid w:val="009F3824"/>
    <w:rsid w:val="00A31309"/>
    <w:rsid w:val="00A728E5"/>
    <w:rsid w:val="00AA473A"/>
    <w:rsid w:val="00AC1D26"/>
    <w:rsid w:val="00AE15FD"/>
    <w:rsid w:val="00B30AC5"/>
    <w:rsid w:val="00B5029D"/>
    <w:rsid w:val="00B56AD8"/>
    <w:rsid w:val="00BA1550"/>
    <w:rsid w:val="00BB79C7"/>
    <w:rsid w:val="00BE075E"/>
    <w:rsid w:val="00BE3460"/>
    <w:rsid w:val="00C3015C"/>
    <w:rsid w:val="00C90485"/>
    <w:rsid w:val="00D179CC"/>
    <w:rsid w:val="00D47968"/>
    <w:rsid w:val="00D60672"/>
    <w:rsid w:val="00D76D6F"/>
    <w:rsid w:val="00D95CA3"/>
    <w:rsid w:val="00E8206E"/>
    <w:rsid w:val="00EB3098"/>
    <w:rsid w:val="00F1107F"/>
    <w:rsid w:val="00F75AF9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6174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351296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29649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1161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Администратор</cp:lastModifiedBy>
  <cp:revision>7</cp:revision>
  <dcterms:created xsi:type="dcterms:W3CDTF">2025-08-26T11:13:00Z</dcterms:created>
  <dcterms:modified xsi:type="dcterms:W3CDTF">2025-09-09T12:07:00Z</dcterms:modified>
</cp:coreProperties>
</file>