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5E990" w14:textId="77777777" w:rsidR="003542E0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5AE279B" w14:textId="77777777" w:rsidR="003542E0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5324D89" w14:textId="77777777" w:rsidR="003542E0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5D54DA6" w14:textId="77777777" w:rsidR="003542E0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3109AB7" w14:textId="77777777" w:rsidR="003542E0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F0C4E46" w14:textId="77777777" w:rsidR="003542E0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623AD91" w14:textId="77777777" w:rsidR="003542E0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1C68139" w14:textId="77777777" w:rsidR="003542E0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8EC104F" w14:textId="1B6D45A7" w:rsidR="003542E0" w:rsidRPr="00115827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  <w:r w:rsidRPr="00115827">
        <w:rPr>
          <w:rFonts w:ascii="Times New Roman" w:hAnsi="Times New Roman"/>
          <w:b/>
          <w:sz w:val="32"/>
          <w:szCs w:val="32"/>
        </w:rPr>
        <w:t>УЧЕБНЫЙ  ПЛАН</w:t>
      </w:r>
      <w:r>
        <w:rPr>
          <w:rFonts w:ascii="Times New Roman" w:hAnsi="Times New Roman"/>
          <w:b/>
          <w:sz w:val="32"/>
          <w:szCs w:val="32"/>
        </w:rPr>
        <w:t xml:space="preserve"> УО (ИН) вариант 2</w:t>
      </w:r>
    </w:p>
    <w:p w14:paraId="533A6AE2" w14:textId="77777777" w:rsidR="003542E0" w:rsidRPr="00115827" w:rsidRDefault="003542E0" w:rsidP="003542E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2024-2025</w:t>
      </w:r>
      <w:r w:rsidRPr="00115827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0323452F" w14:textId="77777777" w:rsidR="003542E0" w:rsidRDefault="003542E0" w:rsidP="003542E0">
      <w:pPr>
        <w:spacing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МБОУ </w:t>
      </w:r>
      <w:r w:rsidRPr="00D075E6">
        <w:rPr>
          <w:rFonts w:ascii="Times New Roman" w:hAnsi="Times New Roman"/>
          <w:sz w:val="24"/>
          <w:szCs w:val="24"/>
        </w:rPr>
        <w:t xml:space="preserve"> «Основная общеобразовательная школа №2 имени воина-интернационалиста Николая</w:t>
      </w:r>
      <w:r>
        <w:rPr>
          <w:rFonts w:ascii="Times New Roman" w:hAnsi="Times New Roman"/>
          <w:sz w:val="24"/>
          <w:szCs w:val="24"/>
        </w:rPr>
        <w:t xml:space="preserve"> Николаевича</w:t>
      </w:r>
      <w:r w:rsidRPr="00D075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75E6">
        <w:rPr>
          <w:rFonts w:ascii="Times New Roman" w:hAnsi="Times New Roman"/>
          <w:sz w:val="24"/>
          <w:szCs w:val="24"/>
        </w:rPr>
        <w:t>Винокурова</w:t>
      </w:r>
      <w:proofErr w:type="spellEnd"/>
      <w:r w:rsidRPr="00D075E6">
        <w:rPr>
          <w:rFonts w:ascii="Times New Roman" w:hAnsi="Times New Roman"/>
          <w:sz w:val="24"/>
          <w:szCs w:val="24"/>
        </w:rPr>
        <w:t>»</w:t>
      </w:r>
    </w:p>
    <w:p w14:paraId="7B21D0D2" w14:textId="77777777" w:rsidR="003542E0" w:rsidRPr="00D075E6" w:rsidRDefault="003542E0" w:rsidP="003542E0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</w:p>
    <w:p w14:paraId="5B5503B2" w14:textId="77777777" w:rsidR="003542E0" w:rsidRPr="00D075E6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677BBAB9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10B73D1A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2758309D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7D4DC6C1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2BCEE482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3B211596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60AFC584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52394633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7A46E5EB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0CEF6EF2" w14:textId="77777777" w:rsidR="003542E0" w:rsidRDefault="003542E0" w:rsidP="003542E0">
      <w:pPr>
        <w:spacing w:line="240" w:lineRule="exac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Обсужден</w:t>
      </w:r>
      <w:proofErr w:type="gramEnd"/>
      <w:r>
        <w:rPr>
          <w:rFonts w:ascii="Times New Roman" w:hAnsi="Times New Roman"/>
          <w:sz w:val="24"/>
          <w:szCs w:val="24"/>
        </w:rPr>
        <w:t xml:space="preserve"> и рекомендован к утверждению</w:t>
      </w:r>
    </w:p>
    <w:p w14:paraId="587FF615" w14:textId="77777777" w:rsidR="003542E0" w:rsidRDefault="003542E0" w:rsidP="003542E0">
      <w:pPr>
        <w:spacing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педагогическом совете</w:t>
      </w:r>
    </w:p>
    <w:p w14:paraId="40105800" w14:textId="77777777" w:rsidR="003542E0" w:rsidRPr="00954366" w:rsidRDefault="003542E0" w:rsidP="003542E0">
      <w:pPr>
        <w:spacing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8  от «27» августа 2024</w:t>
      </w:r>
      <w:r w:rsidRPr="00954366">
        <w:rPr>
          <w:rFonts w:ascii="Times New Roman" w:hAnsi="Times New Roman"/>
          <w:sz w:val="24"/>
          <w:szCs w:val="24"/>
        </w:rPr>
        <w:t>г</w:t>
      </w:r>
    </w:p>
    <w:p w14:paraId="4E0CBFB5" w14:textId="77777777" w:rsidR="003542E0" w:rsidRPr="000B2751" w:rsidRDefault="003542E0" w:rsidP="003542E0">
      <w:pPr>
        <w:spacing w:line="240" w:lineRule="exact"/>
        <w:rPr>
          <w:rFonts w:ascii="Times New Roman" w:hAnsi="Times New Roman"/>
          <w:color w:val="FF0000"/>
          <w:sz w:val="24"/>
          <w:szCs w:val="24"/>
        </w:rPr>
      </w:pPr>
    </w:p>
    <w:p w14:paraId="5A235613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18A9F025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7F45E478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375ACCA6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</w:p>
    <w:p w14:paraId="3169DC4A" w14:textId="77777777" w:rsidR="003542E0" w:rsidRDefault="003542E0" w:rsidP="003542E0">
      <w:pPr>
        <w:spacing w:line="240" w:lineRule="exac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1716793" w14:textId="77777777" w:rsidR="003542E0" w:rsidRDefault="003542E0" w:rsidP="002A2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69F50D0" w14:textId="77777777" w:rsidR="003542E0" w:rsidRDefault="003542E0" w:rsidP="002A2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4E88F10" w14:textId="07FCE308" w:rsidR="002A28FD" w:rsidRPr="003542E0" w:rsidRDefault="003542E0" w:rsidP="002A2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У</w:t>
      </w:r>
      <w:r w:rsidR="002A28FD" w:rsidRPr="003542E0">
        <w:rPr>
          <w:rFonts w:ascii="Times New Roman" w:hAnsi="Times New Roman" w:cs="Times New Roman"/>
          <w:sz w:val="24"/>
          <w:szCs w:val="24"/>
        </w:rPr>
        <w:t>чебный план, образовательных организаций Российской Федерации (далее - учебный план), реализующих ФАООП УО (вариант 2), фиксирует общий объем нагрузки, максимальный объем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14:paraId="38C50578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Учебный план определяет общие рамки принимаемых решений при разработке содержания образования, требований к его усвоению и организации образовательного процесса, а также выступает в качестве одного из основных механизмов его реализации.</w:t>
      </w:r>
    </w:p>
    <w:p w14:paraId="796FB052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Недельный учебный план представлен по этапам обучения.</w:t>
      </w:r>
    </w:p>
    <w:p w14:paraId="4CCC30ED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1 этап - 1 дополнительный, I - IV класс.</w:t>
      </w:r>
    </w:p>
    <w:p w14:paraId="507DC6BE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2 этап - V - IX классы;</w:t>
      </w:r>
    </w:p>
    <w:p w14:paraId="043E4E47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3 этап - X - XII классы.</w:t>
      </w:r>
    </w:p>
    <w:p w14:paraId="654DB8CE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Учебная нагрузка рассчитывается исходя из 33 учебных недель в году в 1 дополнительном и в 1 классе и 34 учебных недель в году со 2 по 12 класс.</w:t>
      </w:r>
    </w:p>
    <w:p w14:paraId="71B7ADD2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Общий объем учебной нагрузки составляет не более от 3039 до 3732 академических часов на I этапе обучения (I - IV или I дополнительный, I - IV класс), 5066 академических часов на II этапе обучения (V - IX класс) и 3060 часов на III этапе (10 - 12 класс).</w:t>
      </w:r>
    </w:p>
    <w:p w14:paraId="2E943C37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109. На каждом этапе обучения в учебном плане представлены шесть предметных областей. Содержание всех учебных предметов, входящих в состав каждой предметной области, имеет ярко выраженную коррекционно-развивающую направленность. Кроме этого, с целью коррекции недостатков психического и физического развития обучающихся в структуру учебного плана входит и коррекционно-развивающая область.</w:t>
      </w:r>
    </w:p>
    <w:p w14:paraId="07D6C541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110. Учебный план включает две части: обязательную часть и часть, формируемую участниками образовательных отношений.</w:t>
      </w:r>
    </w:p>
    <w:p w14:paraId="5559F5BA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42E0">
        <w:rPr>
          <w:rFonts w:ascii="Times New Roman" w:hAnsi="Times New Roman" w:cs="Times New Roman"/>
          <w:sz w:val="24"/>
          <w:szCs w:val="24"/>
        </w:rPr>
        <w:t>Состав учебных предметов в обязательной части учебного плана может различаться для обучающихся с умеренной, тяжелой, глубокой умственной отсталостью (интеллектуальными нарушениями), с тяжелыми и множественными нарушениями развития разных нозологических групп и определяется в соответствии с представленными ниже учебными планами.</w:t>
      </w:r>
      <w:proofErr w:type="gramEnd"/>
    </w:p>
    <w:p w14:paraId="7734B35D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 для каждой группы обучающихся, а также индивидуальных потребностей каждого обучающегося.</w:t>
      </w:r>
    </w:p>
    <w:p w14:paraId="3BD1EBF9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Таким образом, часть учебного плана, формируемая участниками образовательных отношений, предусматривает:</w:t>
      </w:r>
    </w:p>
    <w:p w14:paraId="7F568C97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 xml:space="preserve">учебные занятия, обеспечивающие различные интересы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>, в том числе этнокультурные;</w:t>
      </w:r>
    </w:p>
    <w:p w14:paraId="365C7498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увеличение учебных часов, отводимых на изучение отдельных учебных предметов обязательной части;</w:t>
      </w:r>
    </w:p>
    <w:p w14:paraId="13F1A8E3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 xml:space="preserve">введение учебных курсов, обеспечивающих удовлетворение особых </w:t>
      </w:r>
      <w:r w:rsidRPr="003542E0">
        <w:rPr>
          <w:rFonts w:ascii="Times New Roman" w:hAnsi="Times New Roman" w:cs="Times New Roman"/>
          <w:sz w:val="24"/>
          <w:szCs w:val="24"/>
        </w:rPr>
        <w:lastRenderedPageBreak/>
        <w:t>образовательных потребностей обучающихся с умеренной, тяжелой, глубокой умственной отсталостью (интеллектуальными нарушениями), с тяжелыми и множественными нарушениями развития и необходимую коррекцию недостатков в психическом и (или) физическом развитии.</w:t>
      </w:r>
    </w:p>
    <w:p w14:paraId="38E8D2C0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 xml:space="preserve">ФАООП УО (вариант 2) может включать как один, так и несколько учебных планов.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Специальная индивидуальная программа развития (СИПР), разрабатываемая образовательной организацией на основе АООП, включает индивидуальный учебный план (далее - ИУП), содержащий предметные области, предметы и коррекционные курсы, которые соответствуют особым образовательным возможностям и потребностям конкретного обучающегося.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 xml:space="preserve"> Общий объем нагрузки, включенной в ИУП, не может превышать объем, предусмотренный учебным планом АООП.</w:t>
      </w:r>
    </w:p>
    <w:p w14:paraId="56E9D1C3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Формы организации образовательного процесса, чередование учебной и внеурочной деятельности в рамках реализации АООП образования определяет образовательная организация.</w:t>
      </w:r>
    </w:p>
    <w:p w14:paraId="632100A7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 xml:space="preserve">Учебные планы обеспечивают возможность обучения на государственных языках субъектов Российской Федерации, а также возможность их изучения, в случаях, предусмотренных законодательством Российской Федерации в области образования, и устанавливают количество занятий, отводимых на их изучение, по классам (годам) обучения. При организации образования на основе СИПР индивидуальная недельная нагрузка обучающегося может варьироваться. Так, с учетом федерального учебного плана организация, реализующая вариант 2 АООП, составляет ИУП для каждого обучающегося, в котором определен индивидуальный набор учебных предметов и коррекционных курсов с указанием объема учебной нагрузки. Различия в индивидуальных учебных планах объясняются разнообразием образовательных потребностей, индивидуальных возможностей и особенностей развития обучающихся. В индивидуальных учебных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планах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 xml:space="preserve"> обучающихся с наиболее тяжелыми нарушениями развития, как правило, преобладают занятия коррекционной направленности. У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 xml:space="preserve"> с менее выраженными нарушениями развития больший объем учебной нагрузки распределится на предметные области. Для обучающихся, особые образовательные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потребности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 xml:space="preserve"> которых не позволяют осваивать предметы основной части учебного плана АООП, учебная нагрузка для СИПР формируется следующим образом: увеличивается количество часов коррекционных курсов и добавляются часы </w:t>
      </w:r>
      <w:proofErr w:type="spellStart"/>
      <w:r w:rsidRPr="003542E0">
        <w:rPr>
          <w:rFonts w:ascii="Times New Roman" w:hAnsi="Times New Roman" w:cs="Times New Roman"/>
          <w:sz w:val="24"/>
          <w:szCs w:val="24"/>
        </w:rPr>
        <w:t>коррекционноразвивающих</w:t>
      </w:r>
      <w:proofErr w:type="spellEnd"/>
      <w:r w:rsidRPr="003542E0">
        <w:rPr>
          <w:rFonts w:ascii="Times New Roman" w:hAnsi="Times New Roman" w:cs="Times New Roman"/>
          <w:sz w:val="24"/>
          <w:szCs w:val="24"/>
        </w:rPr>
        <w:t xml:space="preserve"> занятий в пределах максимально допустимой нагрузки, установленной учебным планом. Некоторые обучающиеся, испытывающие трудности адаптации к условиям обучения в группе, могут находиться в организации ограниченное время, объем их нагрузки также лимитируется индивидуальным учебным планом и отражается в расписании занятий.</w:t>
      </w:r>
    </w:p>
    <w:p w14:paraId="0422E635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 xml:space="preserve">111. Процесс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обучения по предметам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 xml:space="preserve"> организуется в форме урока.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Педагогический работник проводит урок для состава всего класса или для группы обучающихся, а также индивидуальную работу с обучающимся в соответствии с расписанием уроков.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 xml:space="preserve"> Продолжительность индивидуальных занятий не должна превышать 25 мин., фронтальных, групповых и подгрупповых занятий - не более 40 минут. В учебном плане устанавливается количество учебных часов по предметам обучения на единицу обучающихся. Единицей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 xml:space="preserve"> считается: один ученик (индивидуальная работа), группа (2 - 3 обучающихся), класс (все обучающиеся класса).</w:t>
      </w:r>
    </w:p>
    <w:p w14:paraId="49E62312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действий, отражает потребность в них "среднего" обучающегося. С учетом расширения знаний и формирующегося опыта к старшему школьному возрасту часы на ряд предметов практического содержания увеличиваются.</w:t>
      </w:r>
    </w:p>
    <w:p w14:paraId="1CDC3CA3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lastRenderedPageBreak/>
        <w:t>112. Содержание коррекционно-развивающей области учебного плана представлено коррекционными курсами и коррекционно-развивающими занятиями.</w:t>
      </w:r>
    </w:p>
    <w:p w14:paraId="480EFD8D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 xml:space="preserve">Выбор коррекционных индивидуальных и групповых занятий, их количественное соотношение может осуществляться общеобразовательной организацией самостоятельно, исходя из психофизических </w:t>
      </w:r>
      <w:proofErr w:type="gramStart"/>
      <w:r w:rsidRPr="003542E0">
        <w:rPr>
          <w:rFonts w:ascii="Times New Roman" w:hAnsi="Times New Roman" w:cs="Times New Roman"/>
          <w:sz w:val="24"/>
          <w:szCs w:val="24"/>
        </w:rPr>
        <w:t>особенностей</w:t>
      </w:r>
      <w:proofErr w:type="gramEnd"/>
      <w:r w:rsidRPr="003542E0">
        <w:rPr>
          <w:rFonts w:ascii="Times New Roman" w:hAnsi="Times New Roman" w:cs="Times New Roman"/>
          <w:sz w:val="24"/>
          <w:szCs w:val="24"/>
        </w:rPr>
        <w:t xml:space="preserve"> обучающихся с умеренной, тяжелой, глубокой умственной отсталостью (интеллектуальными нарушениями), с тяжелыми и множественными нарушениями развития на основании рекомендаций психолого-медико-педагогической комиссии. Время, отведенное на реализацию коррекционно-развивающей области, не учитывается при определении максимально допустимой учебной нагрузки, но учитывается при определении объемов финансирования.</w:t>
      </w:r>
    </w:p>
    <w:p w14:paraId="0221D6E1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Коррекционные курсы реализуются, как правило, в форме индивидуальных занятий. Выбор дисциплин коррекционно-развивающей направленности для индивидуальных и групповых занятий, их количественное соотношение может осуществляться образовательной организацией самостоятельно, исходя из особенностей развития обучающихся с умственной отсталостью и на основании рекомендаций ПМПК и индивидуальной программы реабилитации инвалида. Продолжительность коррекционного занятия варьируется с учетом психофизического состояния обучающегося до 25 минут.</w:t>
      </w:r>
    </w:p>
    <w:p w14:paraId="673D223E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Курсы коррекционно-развивающей области реализуются в рамках внеурочной деятельности.</w:t>
      </w:r>
    </w:p>
    <w:p w14:paraId="2F57A0AF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42E0">
        <w:rPr>
          <w:rFonts w:ascii="Times New Roman" w:hAnsi="Times New Roman" w:cs="Times New Roman"/>
          <w:sz w:val="24"/>
          <w:szCs w:val="24"/>
        </w:rPr>
        <w:t>Общий объем внеурочной деятельности составляет 10 часов в неделю (не более 1690 часов на I этапе обучения (1 - 4 и дополнительный класс), 1700 часов на II этапе обучения (5 - 9 класс) и 1020 часов на III этапе (10 - 12 класс) Из 10 часов внеурочной деятельности в неделю не менее 5 часов отводится на реализацию коррекционно-развивающей области.</w:t>
      </w:r>
      <w:proofErr w:type="gramEnd"/>
    </w:p>
    <w:p w14:paraId="4FBC233A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113. Организация занятий по направлениям внеурочной деятельности является также неотъемлемой частью образовательного процесса в общеобразовательной организации.</w:t>
      </w:r>
    </w:p>
    <w:p w14:paraId="7FA0571C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часов, предусмотренных федеральным учебным планом.</w:t>
      </w:r>
    </w:p>
    <w:p w14:paraId="453AD4B8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Внеурочная деятельность направлена на развитие личности обучающегося средствами физического, нравственного, эстетического, трудового воспитания, а также на расширение контактов обучающихся с обычно развивающимися сверстниками и взаимодействие с обществом. Организация внеурочной воспитательной работы является неотъемлемой частью образовательного процесса в образовательной организации.</w:t>
      </w:r>
    </w:p>
    <w:p w14:paraId="7CFF60F2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Чередование учебной и внеурочной деятельности в рамках реализации АООП и СИПР определяет образовательная организация.</w:t>
      </w:r>
    </w:p>
    <w:p w14:paraId="6C371667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>Время, отведенное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объемов финансирования, направляемых на реализацию АООП.</w:t>
      </w:r>
    </w:p>
    <w:p w14:paraId="18635C3D" w14:textId="77777777" w:rsidR="002A28FD" w:rsidRPr="003542E0" w:rsidRDefault="002A28FD" w:rsidP="002A28F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42E0">
        <w:rPr>
          <w:rFonts w:ascii="Times New Roman" w:hAnsi="Times New Roman" w:cs="Times New Roman"/>
          <w:sz w:val="24"/>
          <w:szCs w:val="24"/>
        </w:rPr>
        <w:t>В прилагаемых таблицах представлены недельные учебные плана для ФАООП УО (вариант 2) разных нозологических групп, рассчитанные на 13-летний период обучения (с 1 дополнительного по 4 класс, с 5 по 9 класс и с 10 по 12 класс).</w:t>
      </w:r>
      <w:proofErr w:type="gramEnd"/>
    </w:p>
    <w:p w14:paraId="7624250E" w14:textId="77777777" w:rsidR="002A28FD" w:rsidRPr="003542E0" w:rsidRDefault="002A28FD" w:rsidP="002A2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3AE83FE" w14:textId="6775E50F" w:rsidR="002A28FD" w:rsidRPr="003542E0" w:rsidRDefault="003542E0" w:rsidP="002A28FD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542E0">
        <w:rPr>
          <w:rFonts w:ascii="Times New Roman" w:hAnsi="Times New Roman" w:cs="Times New Roman"/>
          <w:sz w:val="24"/>
          <w:szCs w:val="24"/>
        </w:rPr>
        <w:t xml:space="preserve">1 Недельный учебный план </w:t>
      </w:r>
      <w:r w:rsidR="002A28FD" w:rsidRPr="003542E0">
        <w:rPr>
          <w:rFonts w:ascii="Times New Roman" w:hAnsi="Times New Roman" w:cs="Times New Roman"/>
          <w:sz w:val="24"/>
          <w:szCs w:val="24"/>
        </w:rPr>
        <w:t>АООП УО (вариант 2) обучающихся V - IX классов.</w:t>
      </w:r>
    </w:p>
    <w:p w14:paraId="390A957E" w14:textId="77777777" w:rsidR="002A28FD" w:rsidRPr="003542E0" w:rsidRDefault="002A28FD" w:rsidP="002A2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1530"/>
        <w:gridCol w:w="1644"/>
        <w:gridCol w:w="565"/>
        <w:gridCol w:w="565"/>
        <w:gridCol w:w="565"/>
        <w:gridCol w:w="565"/>
        <w:gridCol w:w="568"/>
        <w:gridCol w:w="907"/>
      </w:tblGrid>
      <w:tr w:rsidR="002A28FD" w:rsidRPr="003542E0" w14:paraId="3CE13DF6" w14:textId="77777777" w:rsidTr="002A28FD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15E40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Предметные области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0D9D7E7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Учебные предметы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03CA051" w14:textId="77777777" w:rsidR="002A28FD" w:rsidRPr="003542E0" w:rsidRDefault="002A28FD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DF36B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43DF7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2A28FD" w:rsidRPr="003542E0" w14:paraId="5CCCC1A9" w14:textId="77777777" w:rsidTr="002A28FD">
        <w:tc>
          <w:tcPr>
            <w:tcW w:w="90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12DCE9" w14:textId="77777777" w:rsidR="002A28FD" w:rsidRPr="003542E0" w:rsidRDefault="002A28F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B1A89D" w14:textId="77777777" w:rsidR="002A28FD" w:rsidRPr="003542E0" w:rsidRDefault="002A28FD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E844D" w14:textId="77777777" w:rsidR="002A28FD" w:rsidRPr="003542E0" w:rsidRDefault="002A28FD">
            <w:pPr>
              <w:pStyle w:val="ConsPlusNormal"/>
              <w:spacing w:line="25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3BCB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889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5C1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VII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46D3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VIII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0B82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IX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F241A3" w14:textId="77777777" w:rsidR="002A28FD" w:rsidRPr="003542E0" w:rsidRDefault="002A28F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2A28FD" w:rsidRPr="003542E0" w14:paraId="2B44160E" w14:textId="77777777" w:rsidTr="002A28FD">
        <w:tc>
          <w:tcPr>
            <w:tcW w:w="9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5A1F" w14:textId="77777777" w:rsidR="002A28FD" w:rsidRPr="003542E0" w:rsidRDefault="002A28FD">
            <w:pPr>
              <w:pStyle w:val="ConsPlusNormal"/>
              <w:spacing w:line="25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Обязательная часть</w:t>
            </w:r>
          </w:p>
        </w:tc>
      </w:tr>
      <w:tr w:rsidR="002A28FD" w:rsidRPr="003542E0" w14:paraId="0180F55C" w14:textId="77777777" w:rsidTr="002A2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ED2CD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Язык и речевая практика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F9C2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Речь и альтернативная коммуникация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F67E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26B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28FF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5BBC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3515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E293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2A28FD" w:rsidRPr="003542E0" w14:paraId="5296B3C8" w14:textId="77777777" w:rsidTr="002A2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88FD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Математика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1F17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Математические представления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77B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8B50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6D5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081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020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709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A28FD" w:rsidRPr="003542E0" w14:paraId="33690A54" w14:textId="77777777" w:rsidTr="002A28FD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ED93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Окружающий мир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C25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Окружающий природный мир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EF70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693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22E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A8C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9DFB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9A65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A28FD" w:rsidRPr="003542E0" w14:paraId="7B5CE175" w14:textId="77777777" w:rsidTr="002A28FD">
        <w:tc>
          <w:tcPr>
            <w:tcW w:w="9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E1919" w14:textId="77777777" w:rsidR="002A28FD" w:rsidRPr="003542E0" w:rsidRDefault="002A28F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5B318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5F7C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E1A0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9F3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4CD5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F5109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8EF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A28FD" w:rsidRPr="003542E0" w14:paraId="35AC5CE5" w14:textId="77777777" w:rsidTr="002A28FD">
        <w:tc>
          <w:tcPr>
            <w:tcW w:w="9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35E6" w14:textId="77777777" w:rsidR="002A28FD" w:rsidRPr="003542E0" w:rsidRDefault="002A28F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8C19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Домоводство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893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505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AE8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CB2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B45F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574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</w:tr>
      <w:tr w:rsidR="002A28FD" w:rsidRPr="003542E0" w14:paraId="42427B91" w14:textId="77777777" w:rsidTr="002A28FD">
        <w:tc>
          <w:tcPr>
            <w:tcW w:w="9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7ADC" w14:textId="77777777" w:rsidR="002A28FD" w:rsidRPr="003542E0" w:rsidRDefault="002A28F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1033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Окружающий социальный мир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834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A29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615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CC7B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5E2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F0D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2A28FD" w:rsidRPr="003542E0" w14:paraId="12CE8BB6" w14:textId="77777777" w:rsidTr="002A28FD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2F23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Искусство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13CC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Музыка и движение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8140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761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950B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8996B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703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DFB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2A28FD" w:rsidRPr="003542E0" w14:paraId="020763BF" w14:textId="77777777" w:rsidTr="002A28FD">
        <w:tc>
          <w:tcPr>
            <w:tcW w:w="9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6DF5" w14:textId="77777777" w:rsidR="002A28FD" w:rsidRPr="003542E0" w:rsidRDefault="002A28F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10341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Изобразительная деятельность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B7B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3D9C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6748C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DCD3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6CC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8191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2A28FD" w:rsidRPr="003542E0" w14:paraId="1F2828AD" w14:textId="77777777" w:rsidTr="002A2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4870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Физическая культура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D76C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Адаптивная физкультура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EF7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D95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3878C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D9A2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D22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D64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2A28FD" w:rsidRPr="003542E0" w14:paraId="33688E80" w14:textId="77777777" w:rsidTr="002A28FD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D483E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Технология</w:t>
            </w:r>
          </w:p>
        </w:tc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52BC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Профильный труд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B27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6539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02A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93F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2A2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DA75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2A28FD" w:rsidRPr="003542E0" w14:paraId="51909BBD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F8FBA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BA7F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7180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33C3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587D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58A9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3A8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</w:t>
            </w:r>
          </w:p>
        </w:tc>
      </w:tr>
      <w:tr w:rsidR="002A28FD" w:rsidRPr="003542E0" w14:paraId="5BD5F9FD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38DEF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CF5C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C57B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B6FC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6F9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957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BDB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2A28FD" w:rsidRPr="003542E0" w14:paraId="44028B51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4257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DED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CDA1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714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92A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F2C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A6C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</w:t>
            </w:r>
          </w:p>
        </w:tc>
      </w:tr>
      <w:tr w:rsidR="002A28FD" w:rsidRPr="003542E0" w14:paraId="112DD46B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724D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Внеурочная деятельность, в том числе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F9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4EC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E1DF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3A3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0D4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003C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2A28FD" w:rsidRPr="003542E0" w14:paraId="06E150A2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BF73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Коррекционные курсы: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698F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5110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C2E9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0DEE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4085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1F1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2A28FD" w:rsidRPr="003542E0" w14:paraId="721879AE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0ED4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Сенсорное развитие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826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7E4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DB69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036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E32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53B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A28FD" w:rsidRPr="003542E0" w14:paraId="6A1B91CA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FF20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Предметно-практические действия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2C4B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FF8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C66B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D1AF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061C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2A5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A28FD" w:rsidRPr="003542E0" w14:paraId="035DD0FD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DD15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Двигательное развитие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3B4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0C0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3E5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74255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88F99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9967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A28FD" w:rsidRPr="003542E0" w14:paraId="65931736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1C27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Альтернативная коммуникация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DE62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323C1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67E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B2A7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912C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4363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A28FD" w:rsidRPr="003542E0" w14:paraId="729CDB97" w14:textId="77777777" w:rsidTr="002A28FD"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622F" w14:textId="77777777" w:rsidR="002A28FD" w:rsidRPr="003542E0" w:rsidRDefault="002A28FD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Внеурочная деятельность (по направлениям)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90AD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EA08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FCAF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7C63A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7444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1C56" w14:textId="77777777" w:rsidR="002A28FD" w:rsidRPr="003542E0" w:rsidRDefault="002A28F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2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</w:tbl>
    <w:p w14:paraId="06A13395" w14:textId="77777777" w:rsidR="002A28FD" w:rsidRPr="003542E0" w:rsidRDefault="002A28FD" w:rsidP="002A28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2A28FD" w:rsidRPr="00354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97"/>
    <w:rsid w:val="002A28FD"/>
    <w:rsid w:val="003542E0"/>
    <w:rsid w:val="006F5322"/>
    <w:rsid w:val="0076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8FD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A2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28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  <w:style w:type="paragraph" w:customStyle="1" w:styleId="ConsPlusNonformat">
    <w:name w:val="ConsPlusNonformat"/>
    <w:rsid w:val="002A28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customStyle="1" w:styleId="ConsPlusTitle">
    <w:name w:val="ConsPlusTitle"/>
    <w:rsid w:val="002A28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kern w:val="0"/>
      <w:sz w:val="20"/>
      <w:lang w:eastAsia="ru-RU"/>
      <w14:ligatures w14:val="none"/>
    </w:rPr>
  </w:style>
  <w:style w:type="paragraph" w:customStyle="1" w:styleId="ConsPlusCell">
    <w:name w:val="ConsPlusCell"/>
    <w:rsid w:val="002A28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customStyle="1" w:styleId="ConsPlusDocList">
    <w:name w:val="ConsPlusDocList"/>
    <w:rsid w:val="002A28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customStyle="1" w:styleId="ConsPlusTitlePage">
    <w:name w:val="ConsPlusTitlePage"/>
    <w:rsid w:val="002A28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0"/>
      <w:sz w:val="20"/>
      <w:lang w:eastAsia="ru-RU"/>
      <w14:ligatures w14:val="none"/>
    </w:rPr>
  </w:style>
  <w:style w:type="paragraph" w:customStyle="1" w:styleId="ConsPlusJurTerm">
    <w:name w:val="ConsPlusJurTerm"/>
    <w:rsid w:val="002A28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0"/>
      <w:sz w:val="26"/>
      <w:lang w:eastAsia="ru-RU"/>
      <w14:ligatures w14:val="none"/>
    </w:rPr>
  </w:style>
  <w:style w:type="paragraph" w:customStyle="1" w:styleId="ConsPlusTextList">
    <w:name w:val="ConsPlusTextList"/>
    <w:rsid w:val="002A28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8FD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A2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28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  <w:style w:type="paragraph" w:customStyle="1" w:styleId="ConsPlusNonformat">
    <w:name w:val="ConsPlusNonformat"/>
    <w:rsid w:val="002A28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customStyle="1" w:styleId="ConsPlusTitle">
    <w:name w:val="ConsPlusTitle"/>
    <w:rsid w:val="002A28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kern w:val="0"/>
      <w:sz w:val="20"/>
      <w:lang w:eastAsia="ru-RU"/>
      <w14:ligatures w14:val="none"/>
    </w:rPr>
  </w:style>
  <w:style w:type="paragraph" w:customStyle="1" w:styleId="ConsPlusCell">
    <w:name w:val="ConsPlusCell"/>
    <w:rsid w:val="002A28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customStyle="1" w:styleId="ConsPlusDocList">
    <w:name w:val="ConsPlusDocList"/>
    <w:rsid w:val="002A28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0"/>
      <w:sz w:val="20"/>
      <w:lang w:eastAsia="ru-RU"/>
      <w14:ligatures w14:val="none"/>
    </w:rPr>
  </w:style>
  <w:style w:type="paragraph" w:customStyle="1" w:styleId="ConsPlusTitlePage">
    <w:name w:val="ConsPlusTitlePage"/>
    <w:rsid w:val="002A28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0"/>
      <w:sz w:val="20"/>
      <w:lang w:eastAsia="ru-RU"/>
      <w14:ligatures w14:val="none"/>
    </w:rPr>
  </w:style>
  <w:style w:type="paragraph" w:customStyle="1" w:styleId="ConsPlusJurTerm">
    <w:name w:val="ConsPlusJurTerm"/>
    <w:rsid w:val="002A28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0"/>
      <w:sz w:val="26"/>
      <w:lang w:eastAsia="ru-RU"/>
      <w14:ligatures w14:val="none"/>
    </w:rPr>
  </w:style>
  <w:style w:type="paragraph" w:customStyle="1" w:styleId="ConsPlusTextList">
    <w:name w:val="ConsPlusTextList"/>
    <w:rsid w:val="002A28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4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пользователь</cp:lastModifiedBy>
  <cp:revision>2</cp:revision>
  <dcterms:created xsi:type="dcterms:W3CDTF">2025-02-16T11:16:00Z</dcterms:created>
  <dcterms:modified xsi:type="dcterms:W3CDTF">2025-02-16T11:16:00Z</dcterms:modified>
</cp:coreProperties>
</file>